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1E48AC" w14:paraId="4718D631" w14:textId="77777777" w:rsidTr="001E48AC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1E48AC" w14:paraId="1379DCB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"/>
                    <w:gridCol w:w="7500"/>
                    <w:gridCol w:w="345"/>
                    <w:gridCol w:w="1050"/>
                    <w:gridCol w:w="75"/>
                  </w:tblGrid>
                  <w:tr w:rsidR="001E48AC" w14:paraId="7D5120D1" w14:textId="77777777">
                    <w:trPr>
                      <w:tblCellSpacing w:w="0" w:type="dxa"/>
                    </w:trPr>
                    <w:tc>
                      <w:tcPr>
                        <w:tcW w:w="45" w:type="dxa"/>
                        <w:vAlign w:val="center"/>
                        <w:hideMark/>
                      </w:tcPr>
                      <w:p w14:paraId="50AB0A78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55B9FF0" wp14:editId="67138C15">
                              <wp:extent cx="28575" cy="28575"/>
                              <wp:effectExtent l="0" t="0" r="0" b="0"/>
                              <wp:docPr id="25" name="Afbeelding 25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00" w:type="dxa"/>
                        <w:vAlign w:val="bottom"/>
                        <w:hideMark/>
                      </w:tcPr>
                      <w:p w14:paraId="4CBD8897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73F1EFEC" wp14:editId="238E18F6">
                              <wp:extent cx="4762500" cy="314325"/>
                              <wp:effectExtent l="0" t="0" r="0" b="9525"/>
                              <wp:docPr id="24" name="Afbeelding 24" descr="cid:281df013882cf31d34676b5b12f6b35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cid:281df013882cf31d34676b5b12f6b35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 r:link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00" cy="3143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45" w:type="dxa"/>
                        <w:vAlign w:val="center"/>
                        <w:hideMark/>
                      </w:tcPr>
                      <w:p w14:paraId="1E2DF162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1D606252" wp14:editId="15A8AC2C">
                              <wp:extent cx="219075" cy="219075"/>
                              <wp:effectExtent l="0" t="0" r="0" b="0"/>
                              <wp:docPr id="23" name="Afbeelding 23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1035" w:type="dxa"/>
                        <w:vAlign w:val="center"/>
                        <w:hideMark/>
                      </w:tcPr>
                      <w:p w14:paraId="6391FEFC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2E1D94C" wp14:editId="2D59ECC3">
                              <wp:extent cx="657225" cy="714375"/>
                              <wp:effectExtent l="0" t="0" r="9525" b="9525"/>
                              <wp:docPr id="22" name="Afbeelding 22" descr="cid:4e86ef28a43764dfbbf3c7823e1f1382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cid:4e86ef28a43764dfbbf3c7823e1f1382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r:link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57225" cy="714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75" w:type="dxa"/>
                        <w:vAlign w:val="center"/>
                        <w:hideMark/>
                      </w:tcPr>
                      <w:p w14:paraId="72F00733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6DDCB880" wp14:editId="479EF82B">
                              <wp:extent cx="47625" cy="47625"/>
                              <wp:effectExtent l="0" t="0" r="0" b="0"/>
                              <wp:docPr id="21" name="Afbeelding 21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47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48AC" w14:paraId="3598C588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2C64E458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38A3523A" wp14:editId="6C965548">
                              <wp:extent cx="628650" cy="190500"/>
                              <wp:effectExtent l="0" t="0" r="0" b="0"/>
                              <wp:docPr id="20" name="Afbeelding 20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48AC" w14:paraId="3DEF82D4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40DEC9C6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E529FAB" wp14:editId="22C44E58">
                              <wp:extent cx="5715000" cy="1381125"/>
                              <wp:effectExtent l="0" t="0" r="0" b="9525"/>
                              <wp:docPr id="19" name="Afbeelding 19" descr="cid:8a7f848ff2e3a0bf8772e8e8a359647a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cid:8a7f848ff2e3a0bf8772e8e8a359647a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r:link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0" cy="13811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48AC" w14:paraId="092F1A25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5"/>
                        <w:vAlign w:val="center"/>
                        <w:hideMark/>
                      </w:tcPr>
                      <w:p w14:paraId="287AC6F3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5FFE5D09" wp14:editId="3C43FEA8">
                              <wp:extent cx="628650" cy="190500"/>
                              <wp:effectExtent l="0" t="0" r="0" b="0"/>
                              <wp:docPr id="18" name="Afbeelding 18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F0AA3F4" w14:textId="77777777" w:rsidR="001E48AC" w:rsidRDefault="001E48AC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900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43"/>
                    <w:gridCol w:w="4286"/>
                    <w:gridCol w:w="143"/>
                  </w:tblGrid>
                  <w:tr w:rsidR="001E48AC" w14:paraId="0C95736E" w14:textId="77777777">
                    <w:trPr>
                      <w:gridAfter w:val="1"/>
                      <w:wAfter w:w="150" w:type="dxa"/>
                      <w:tblCellSpacing w:w="0" w:type="dxa"/>
                    </w:trPr>
                    <w:tc>
                      <w:tcPr>
                        <w:tcW w:w="4500" w:type="dxa"/>
                        <w:hideMark/>
                      </w:tcPr>
                      <w:tbl>
                        <w:tblPr>
                          <w:tblW w:w="4500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6"/>
                          <w:gridCol w:w="357"/>
                        </w:tblGrid>
                        <w:tr w:rsidR="001E48AC" w14:paraId="5021331B" w14:textId="77777777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14:paraId="0640AF6C" w14:textId="77777777" w:rsidR="001E48AC" w:rsidRDefault="001E48AC">
                              <w:pPr>
                                <w:pStyle w:val="Kop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0D15C"/>
                                  <w:sz w:val="38"/>
                                  <w:szCs w:val="38"/>
                                </w:rPr>
                                <w:t>PELITA</w:t>
                              </w: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7A96655F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Pelita's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bijeenkomst naoorlogse generaties</w:t>
                              </w:r>
                            </w:p>
                            <w:p w14:paraId="76BBF4FB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Zaterdag 8 september organiseert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Het Brandpunt te Baarn weer een bijeenkomst voor de naoorlogse generaties. </w:t>
                              </w:r>
                            </w:p>
                            <w:p w14:paraId="23B22A9C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5196C0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hyperlink r:id="rId1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Erica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Bürer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en Inge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Dümpel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bekend van het boek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Imagine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  gaan die dag in op de vraag of Indische cultuur bij onze generatie stopt. </w:t>
                              </w:r>
                            </w:p>
                            <w:p w14:paraId="3B521BB7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7FE06C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u het </w:t>
                              </w:r>
                              <w:hyperlink r:id="rId13" w:tgtFrame="_blank" w:tooltip="Download dit bestand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programma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4757158D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Tentoonstelling MS Oranje in het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Scheepvaart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-</w:t>
                              </w: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museum</w:t>
                              </w:r>
                              <w:proofErr w:type="spellEnd"/>
                            </w:p>
                            <w:p w14:paraId="72E29577" w14:textId="77777777" w:rsidR="001E48AC" w:rsidRDefault="001E48AC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 wp14:anchorId="13300781" wp14:editId="349CA267">
                                    <wp:extent cx="2857500" cy="1609725"/>
                                    <wp:effectExtent l="0" t="0" r="0" b="9525"/>
                                    <wp:docPr id="17" name="Afbeelding 17" descr="cid:e53bbe55e20702f5b7fe7df0a714eee4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cid:e53bbe55e20702f5b7fe7df0a714eee4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 r:link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609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98CEEDD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8 september t/m 18 juli 2019 staat de MS Oranje centraal in de tentoonstelling </w:t>
                              </w:r>
                              <w:hyperlink r:id="rId1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MS Oranje: Koers gewijzigd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2EB47F36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D80F5E2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Deze tentoonstelling vindt u in het Scheepvaartmuseum te Amsterdam.</w:t>
                              </w:r>
                            </w:p>
                            <w:p w14:paraId="3765D2F1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Symposium wederzijdse erkenning en verzoening</w:t>
                              </w:r>
                            </w:p>
                            <w:p w14:paraId="585A3A5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Op 6 oktober opent minister Paul Blokhuis (VWS) het symposium voor wederzijdse erkenning en verzoening 'Trauma,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Recogniton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and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Reconciliation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after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Violent Conflict'. </w:t>
                              </w:r>
                            </w:p>
                            <w:p w14:paraId="187D3729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Dit, op initiatief van </w:t>
                              </w:r>
                              <w:hyperlink r:id="rId17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Stichting Dialoog Nederland-Japan-Indonesië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in samenwerking met het Indisch Herinneringscentrum en kenniscentrum Arq. </w:t>
                              </w:r>
                            </w:p>
                            <w:p w14:paraId="16B9D6AC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726D2F7E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 voertaal is Engels. Graag voor 10 september aanmelden! </w:t>
                              </w:r>
                            </w:p>
                            <w:p w14:paraId="61C3D8A7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15B5D74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de </w:t>
                              </w:r>
                              <w:hyperlink r:id="rId18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uitnodiging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191CFC5E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80A51BB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En zie de</w:t>
                              </w:r>
                              <w:hyperlink r:id="rId19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lijst met sprekers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het </w:t>
                              </w:r>
                              <w:hyperlink r:id="rId20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programma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en het </w:t>
                              </w:r>
                              <w:hyperlink r:id="rId2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aanmeldformulier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0EEE3386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33B652F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Het symposium vindt plaats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Sophiahof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, Sophialaan 10, 2514JR Den Haag.</w:t>
                              </w:r>
                            </w:p>
                            <w:p w14:paraId="78A59D2E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048BD724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03C92313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De Indische brieven spraken boekdelen</w:t>
                              </w:r>
                            </w:p>
                            <w:p w14:paraId="56533CB5" w14:textId="77777777" w:rsidR="001E48AC" w:rsidRDefault="001E48AC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780F0848" wp14:editId="73BD9B34">
                                    <wp:extent cx="1428750" cy="1905000"/>
                                    <wp:effectExtent l="0" t="0" r="0" b="0"/>
                                    <wp:docPr id="16" name="Afbeelding 16" descr="cid:2bc8ad530db4cdb9e9d09d160fbe6169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" descr="cid:2bc8ad530db4cdb9e9d09d160fbe6169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2" r:link="rId2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905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24CDD6B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Geert Mak was de spreker tijdens de Indië-herdenking van dit jaar. </w:t>
                              </w:r>
                            </w:p>
                            <w:p w14:paraId="69D740C3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In de Aanspraak van </w:t>
                              </w:r>
                              <w:hyperlink r:id="rId2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september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vindt u een interview met hem over diens lezing. </w:t>
                              </w:r>
                            </w:p>
                            <w:p w14:paraId="01DC7274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11F780E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In deze Aanspraak vindt u ook andere artikelen met betrekking tot WO-II en Nederlands-Indië, onder meer over Birma,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Changi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vrouwenkampen en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Colditz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2F4D4F23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Moluks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Historisch Museum in Museum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Sophiahof</w:t>
                              </w:r>
                              <w:proofErr w:type="spellEnd"/>
                            </w:p>
                            <w:p w14:paraId="43E1B5F8" w14:textId="77777777" w:rsidR="001E48AC" w:rsidRDefault="001E48AC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4BF80D34" wp14:editId="061F72B7">
                                    <wp:extent cx="2857500" cy="1381125"/>
                                    <wp:effectExtent l="0" t="0" r="0" b="9525"/>
                                    <wp:docPr id="15" name="Afbeelding 15" descr="cid:6a9a03fac5dd7051cfee02c6cad52e3d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" descr="cid:6a9a03fac5dd7051cfee02c6cad52e3d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5" r:link="rId2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1381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50EC3FF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In verband met de aanstaande grote verbouwing van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Sophiahof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Den Haag geeft Stichting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Moluks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Historisch Museum op 23 september een preview van haar plannen voor het komende Museum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Sophiahof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6281E826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CB3E3D4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Voorjaar 2019 is de verbouwing klaar en Museum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Sophiahof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hopelijk een feit. </w:t>
                              </w:r>
                            </w:p>
                            <w:p w14:paraId="0C3816AF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ECAE2CE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de </w:t>
                              </w:r>
                              <w:hyperlink r:id="rId27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nieuwsbrief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hierover.</w:t>
                              </w: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286BF19F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7F807C64" wp14:editId="7F310515">
                                    <wp:extent cx="238125" cy="238125"/>
                                    <wp:effectExtent l="0" t="0" r="0" b="0"/>
                                    <wp:docPr id="14" name="Afbeelding 14" descr="cid:c98db2aad6f5f3105e5e586db161cf7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 descr="cid:c98db2aad6f5f3105e5e586db161cf7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2381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48AC" w14:paraId="6F93E4B8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gridSpan w:val="2"/>
                              <w:vAlign w:val="center"/>
                              <w:hideMark/>
                            </w:tcPr>
                            <w:p w14:paraId="24B2848D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169CE11B" wp14:editId="1B7480A2">
                                    <wp:extent cx="628650" cy="190500"/>
                                    <wp:effectExtent l="0" t="0" r="0" b="0"/>
                                    <wp:docPr id="13" name="Afbeelding 13" descr="cid:c98db2aad6f5f3105e5e586db161cf7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3" descr="cid:c98db2aad6f5f3105e5e586db161cf7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48AC" w14:paraId="19E22AEF" w14:textId="77777777">
                          <w:trPr>
                            <w:tblCellSpacing w:w="0" w:type="dxa"/>
                          </w:trPr>
                          <w:tc>
                            <w:tcPr>
                              <w:tcW w:w="4125" w:type="dxa"/>
                              <w:vAlign w:val="center"/>
                              <w:hideMark/>
                            </w:tcPr>
                            <w:p w14:paraId="17BA5C56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F7786B0" wp14:editId="077704DA">
                                    <wp:extent cx="2619375" cy="9525"/>
                                    <wp:effectExtent l="0" t="0" r="0" b="0"/>
                                    <wp:docPr id="12" name="Afbeelding 12" descr="cid:922c8560845c7c731f6945b27fb0c4c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4" descr="cid:922c8560845c7c731f6945b27fb0c4c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r:link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61937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375" w:type="dxa"/>
                              <w:vAlign w:val="center"/>
                              <w:hideMark/>
                            </w:tcPr>
                            <w:p w14:paraId="6374FB86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7C01DCC8" wp14:editId="6E7FF0B2">
                                    <wp:extent cx="238125" cy="9525"/>
                                    <wp:effectExtent l="0" t="0" r="0" b="0"/>
                                    <wp:docPr id="11" name="Afbeelding 11" descr="cid:c98db2aad6f5f3105e5e586db161cf7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5" descr="cid:c98db2aad6f5f3105e5e586db161cf7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8125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48AC" w14:paraId="529FF5BA" w14:textId="77777777">
                          <w:trPr>
                            <w:tblCellSpacing w:w="0" w:type="dxa"/>
                          </w:trPr>
                          <w:tc>
                            <w:tcPr>
                              <w:tcW w:w="4500" w:type="dxa"/>
                              <w:gridSpan w:val="2"/>
                              <w:vAlign w:val="center"/>
                              <w:hideMark/>
                            </w:tcPr>
                            <w:p w14:paraId="1495D1D8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3D41C93C" wp14:editId="1FD1E448">
                                    <wp:extent cx="628650" cy="95250"/>
                                    <wp:effectExtent l="0" t="0" r="0" b="0"/>
                                    <wp:docPr id="10" name="Afbeelding 10" descr="cid:c98db2aad6f5f3105e5e586db161cf7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6" descr="cid:c98db2aad6f5f3105e5e586db161cf7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DA2CB7E" w14:textId="77777777" w:rsidR="001E48AC" w:rsidRDefault="001E48A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00" w:type="dxa"/>
                        <w:hideMark/>
                      </w:tcPr>
                      <w:p w14:paraId="49658254" w14:textId="77777777" w:rsidR="001E48AC" w:rsidRDefault="001E48AC"/>
                      <w:p w14:paraId="5645BD63" w14:textId="77777777" w:rsidR="001E48AC" w:rsidRDefault="001E48AC"/>
                      <w:p w14:paraId="4C7F55E2" w14:textId="77777777" w:rsidR="001E48AC" w:rsidRDefault="001E48AC"/>
                      <w:tbl>
                        <w:tblPr>
                          <w:tblW w:w="4143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86"/>
                        </w:tblGrid>
                        <w:tr w:rsidR="001E48AC" w14:paraId="68DDC8C7" w14:textId="77777777" w:rsidTr="001E48AC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4C0E8D8D" w14:textId="77777777" w:rsidR="001E48AC" w:rsidRDefault="001E48AC">
                              <w:pPr>
                                <w:pStyle w:val="Kop2"/>
                                <w:spacing w:before="0" w:beforeAutospacing="0" w:after="0" w:afterAutospacing="0"/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A0D15C"/>
                                  <w:sz w:val="38"/>
                                  <w:szCs w:val="38"/>
                                </w:rPr>
                                <w:t>PELITA</w:t>
                              </w:r>
                              <w:r>
                                <w:rPr>
                                  <w:rFonts w:ascii="Arial" w:eastAsia="Times New Roman" w:hAnsi="Arial" w:cs="Arial"/>
                                  <w:b w:val="0"/>
                                  <w:bCs w:val="0"/>
                                  <w:color w:val="727272"/>
                                  <w:sz w:val="38"/>
                                  <w:szCs w:val="38"/>
                                </w:rPr>
                                <w:t xml:space="preserve"> </w:t>
                              </w:r>
                            </w:p>
                            <w:p w14:paraId="65593AE1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Indische Eettafels</w:t>
                              </w:r>
                            </w:p>
                            <w:p w14:paraId="2B34AFB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Bent u al eens naar Indische Eettafels elders in het land geweest? Andere mensen, andere locatie, maar vast met een voor u vertrouwde Indische sfeer! </w:t>
                              </w:r>
                            </w:p>
                            <w:p w14:paraId="1F45E17D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6E8425D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Bovendien kans om oude bekenden te ontmoeten! </w:t>
                              </w:r>
                            </w:p>
                            <w:p w14:paraId="2746CE57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266B04D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u de </w:t>
                              </w:r>
                              <w:hyperlink r:id="rId30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agenda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met onze Indische Eettafels.</w:t>
                              </w:r>
                            </w:p>
                            <w:p w14:paraId="18866BDE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Sadja's</w:t>
                              </w:r>
                              <w:proofErr w:type="spellEnd"/>
                            </w:p>
                            <w:p w14:paraId="77E4DAB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Het is ook leuk om eens naar andere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Sadja's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te gaan. Niet alleen voor de nieuwe gezichten en kans om oude bekenden te treffen, maar ook voor een andere sfeer en programmering. </w:t>
                              </w:r>
                            </w:p>
                            <w:p w14:paraId="21A7B217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967EFE7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36B38B3" w14:textId="77777777" w:rsidR="001E48AC" w:rsidRDefault="001E48AC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522F5DB2" wp14:editId="7E2A50B3">
                                    <wp:extent cx="1428750" cy="1428750"/>
                                    <wp:effectExtent l="0" t="0" r="0" b="0"/>
                                    <wp:docPr id="9" name="Afbeelding 9" descr="cid:e8d46123917a75fc0aa7c8a59bdfcb50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7" descr="cid:e8d46123917a75fc0aa7c8a59bdfcb50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1" r:link="rId3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428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6B0551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Bijvoorbeeld tijdens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kumpulan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van 12 september in Den Haag vertelt Han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Deibert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(foto) over zijn boek Permafrost in de Tropen. </w:t>
                              </w:r>
                            </w:p>
                            <w:p w14:paraId="5BB7C98B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34BBC086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Of tijdens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Plus op 15 september in Zwolle kunt u niet alleen deelnemen aan de workshop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Kuntao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, maar ook luisteren naar anekdotes van Tante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Eus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 in het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pecok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21D5A52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lastRenderedPageBreak/>
                                <w:t> </w:t>
                              </w:r>
                            </w:p>
                            <w:p w14:paraId="1C2DA62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het </w:t>
                              </w:r>
                              <w:hyperlink r:id="rId3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overzicht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onze komende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Sadja's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1E4C0FF8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Kijkdagen </w:t>
                              </w:r>
                              <w:proofErr w:type="spellStart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Indonesian</w:t>
                              </w:r>
                              <w:proofErr w:type="spellEnd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 xml:space="preserve"> Art Sale</w:t>
                              </w:r>
                            </w:p>
                            <w:p w14:paraId="670D62DA" w14:textId="77777777" w:rsidR="001E48AC" w:rsidRDefault="001E48AC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3866D777" wp14:editId="5C64D48F">
                                    <wp:extent cx="1428750" cy="1962150"/>
                                    <wp:effectExtent l="0" t="0" r="0" b="0"/>
                                    <wp:docPr id="8" name="Afbeelding 8" descr="cid:d67d975334d8ff9ce5837c911cfb3519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8" descr="cid:d67d975334d8ff9ce5837c911cfb3519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4" r:link="rId3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962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962329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Tot en met maandag 10 september kunt nog de vele prachtige schilderijen en andere Indische/Indonesische kunst bewonderen voordat deze tijdens de veiling in het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Venduehuis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handen komen van binnen- en buitenlandse particulieren. Tenzij u de nieuwe eigenaar wordt... </w:t>
                              </w:r>
                            </w:p>
                            <w:p w14:paraId="25CF86D5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5744FEE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Zie de </w:t>
                              </w:r>
                              <w:hyperlink r:id="rId3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catalogus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7A2B19ED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628E8957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Indonesian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Art Sale is op 12 september in het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Venduehuis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der Notarissen, Den Haag.</w:t>
                              </w:r>
                            </w:p>
                            <w:p w14:paraId="1137AC58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Trailer 'Achter elk zwijgen zit een verhaal'</w:t>
                              </w:r>
                            </w:p>
                            <w:p w14:paraId="1FDB685D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u de </w:t>
                              </w:r>
                              <w:hyperlink r:id="rId37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trailer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'Achter elk zwijgen zit een verhaal', c.q. de documentaire over Stichting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Pelita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ter gelegenheid van het 70-jarig bestaan. </w:t>
                              </w:r>
                            </w:p>
                            <w:p w14:paraId="3F3F7AB2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152E060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 documentaire rouleert nu langs de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Masoek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Sadja's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637670F4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</w:p>
                            <w:p w14:paraId="51D835AE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lastRenderedPageBreak/>
                                <w:t>Dekolonisatie of rekolonisatie?</w:t>
                              </w:r>
                            </w:p>
                            <w:p w14:paraId="6E902EDF" w14:textId="77777777" w:rsidR="001E48AC" w:rsidRDefault="001E48AC">
                              <w:pPr>
                                <w:rPr>
                                  <w:rFonts w:ascii="Arial" w:eastAsia="Times New Roman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noProof/>
                                  <w:color w:val="727272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 wp14:anchorId="233B541B" wp14:editId="361667B3">
                                    <wp:extent cx="1428750" cy="1019175"/>
                                    <wp:effectExtent l="0" t="0" r="0" b="9525"/>
                                    <wp:docPr id="7" name="Afbeelding 7" descr="cid:77313d93c50e8fb544e0abaf5b4d9d6c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 descr="cid:77313d93c50e8fb544e0abaf5b4d9d6c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8" r:link="rId3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28750" cy="10191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C6318F9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Donderdagavond 13 september vindt van 19:30-22:00 uur te Amsterdam in Pakhuis De Zwijger een publieksbijeenkomst plaats met bovenstaande titel. </w:t>
                              </w:r>
                            </w:p>
                            <w:p w14:paraId="70C1DAF3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7F99BF4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Met deze bijeenkomst wordt stilgestaan bij de stand van zaken van het onderzoeksprogramma Dekolonisatie, geweld en oorlog in Indonesië 1945-1950 dat precies een jaar geleden van start ging. </w:t>
                              </w:r>
                            </w:p>
                            <w:p w14:paraId="1DE0CD43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542F5336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Hier vindt u het </w:t>
                              </w:r>
                              <w:hyperlink r:id="rId40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programma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36983096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078CA889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U moet wel reserveren via </w:t>
                              </w:r>
                              <w:hyperlink r:id="rId41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Pakhuis de Zwijger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  <w:p w14:paraId="3A2A5288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Indische Schrijfschool</w:t>
                              </w:r>
                            </w:p>
                            <w:p w14:paraId="04ACFF2E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Kent u de </w:t>
                              </w:r>
                              <w:hyperlink r:id="rId42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Indische Schrijfschool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van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Vilan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van de Loo al? Zie wat voorbeelden zoals dit </w:t>
                              </w:r>
                              <w:hyperlink r:id="rId43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verhaal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over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goena-goena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in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Bandoengan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  <w:p w14:paraId="7BC63E08" w14:textId="77777777" w:rsidR="001E48AC" w:rsidRDefault="001E48AC">
                              <w:pPr>
                                <w:pStyle w:val="Kop1"/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color w:val="727272"/>
                                </w:rPr>
                                <w:t>Het kind met de Japanse ogen</w:t>
                              </w:r>
                            </w:p>
                            <w:p w14:paraId="7F46AD31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Zondagmiddag 23 september vindt om 12:00 uur in de Haagsche boekhandel </w:t>
                              </w:r>
                              <w:hyperlink r:id="rId44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Van 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Stockum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de boekpresentatie plaats van Reggie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Baay’s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 nieuwste boek: </w:t>
                              </w:r>
                              <w:hyperlink r:id="rId45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Het kind met de Japanse ogen</w:t>
                                </w:r>
                              </w:hyperlink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. </w:t>
                              </w:r>
                            </w:p>
                            <w:p w14:paraId="556F2D68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  <w:p w14:paraId="252DCB52" w14:textId="77777777" w:rsidR="001E48AC" w:rsidRDefault="001E48AC">
                              <w:pPr>
                                <w:pStyle w:val="bodytext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727272"/>
                                  <w:sz w:val="18"/>
                                  <w:szCs w:val="18"/>
                                </w:rPr>
                                <w:t xml:space="preserve">Volgens Adriaan van Dis: </w:t>
                              </w:r>
                              <w:hyperlink r:id="rId46" w:tgtFrame="_blank" w:tooltip="Deze link opent in dit venster" w:history="1"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"</w:t>
                                </w:r>
                                <w:proofErr w:type="spellStart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>Baay</w:t>
                                </w:r>
                                <w:proofErr w:type="spellEnd"/>
                                <w:r>
                                  <w:rPr>
                                    <w:rStyle w:val="Hyperlink"/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op zijn best!"</w:t>
                                </w:r>
                              </w:hyperlink>
                            </w:p>
                          </w:tc>
                        </w:tr>
                        <w:tr w:rsidR="001E48AC" w14:paraId="1A96A602" w14:textId="77777777" w:rsidTr="001E48AC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1F6C58C8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lastRenderedPageBreak/>
                                <w:drawing>
                                  <wp:inline distT="0" distB="0" distL="0" distR="0" wp14:anchorId="14951A58" wp14:editId="37204D0E">
                                    <wp:extent cx="628650" cy="190500"/>
                                    <wp:effectExtent l="0" t="0" r="0" b="0"/>
                                    <wp:docPr id="6" name="Afbeelding 6" descr="cid:c98db2aad6f5f3105e5e586db161cf7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 descr="cid:c98db2aad6f5f3105e5e586db161cf7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48AC" w14:paraId="5186DCD6" w14:textId="77777777" w:rsidTr="001E48AC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206B5ACB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6D38D691" wp14:editId="388C79A1">
                                    <wp:extent cx="2857500" cy="9525"/>
                                    <wp:effectExtent l="0" t="0" r="0" b="0"/>
                                    <wp:docPr id="5" name="Afbeelding 5" descr="cid:922c8560845c7c731f6945b27fb0c4c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 descr="cid:922c8560845c7c731f6945b27fb0c4c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8" r:link="rId2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75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1E48AC" w14:paraId="5C4F04AE" w14:textId="77777777" w:rsidTr="001E48AC">
                          <w:trPr>
                            <w:tblCellSpacing w:w="0" w:type="dxa"/>
                          </w:trPr>
                          <w:tc>
                            <w:tcPr>
                              <w:tcW w:w="4143" w:type="dxa"/>
                              <w:vAlign w:val="center"/>
                              <w:hideMark/>
                            </w:tcPr>
                            <w:p w14:paraId="3DD2D555" w14:textId="77777777" w:rsidR="001E48AC" w:rsidRDefault="001E48AC">
                              <w:pPr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0022E032" wp14:editId="54FF954F">
                                    <wp:extent cx="628650" cy="95250"/>
                                    <wp:effectExtent l="0" t="0" r="0" b="0"/>
                                    <wp:docPr id="4" name="Afbeelding 4" descr="cid:c98db2aad6f5f3105e5e586db161cf78@swift.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cid:c98db2aad6f5f3105e5e586db161cf78@swift.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286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E736924" w14:textId="77777777" w:rsidR="001E48AC" w:rsidRDefault="001E48AC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1E48AC" w14:paraId="50291EC1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vAlign w:val="center"/>
                        <w:hideMark/>
                      </w:tcPr>
                      <w:p w14:paraId="5C7A0545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lastRenderedPageBreak/>
                          <w:drawing>
                            <wp:inline distT="0" distB="0" distL="0" distR="0" wp14:anchorId="6C0FEBE9" wp14:editId="39DA4DAB">
                              <wp:extent cx="628650" cy="57150"/>
                              <wp:effectExtent l="0" t="0" r="0" b="0"/>
                              <wp:docPr id="3" name="Afbeelding 3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57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48AC" w14:paraId="58742332" w14:textId="77777777">
                    <w:trPr>
                      <w:tblCellSpacing w:w="0" w:type="dxa"/>
                    </w:trPr>
                    <w:tc>
                      <w:tcPr>
                        <w:tcW w:w="8850" w:type="dxa"/>
                        <w:gridSpan w:val="2"/>
                        <w:vAlign w:val="center"/>
                        <w:hideMark/>
                      </w:tcPr>
                      <w:p w14:paraId="548DA129" w14:textId="77777777" w:rsidR="001E48AC" w:rsidRDefault="001E48AC">
                        <w:pPr>
                          <w:jc w:val="center"/>
                        </w:pPr>
                        <w:hyperlink r:id="rId47" w:tooltip="Klik om uw gegevens te wijzigen of om u af te melden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Klik hier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 xml:space="preserve"> als u onze nieuwsbrief niet meer wilt ontvangen op dit emailadres</w:t>
                        </w:r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br/>
                          <w:t xml:space="preserve">of stuur een email naar </w:t>
                        </w:r>
                        <w:hyperlink r:id="rId48" w:tooltip="info@pelita.nl" w:history="1">
                          <w:r>
                            <w:rPr>
                              <w:rStyle w:val="Hyperlink"/>
                              <w:rFonts w:ascii="Arial" w:eastAsia="Times New Roman" w:hAnsi="Arial" w:cs="Arial"/>
                              <w:sz w:val="18"/>
                              <w:szCs w:val="18"/>
                            </w:rPr>
                            <w:t>info@pelita.nl</w:t>
                          </w:r>
                        </w:hyperlink>
                        <w:r>
                          <w:rPr>
                            <w:rFonts w:ascii="Arial" w:eastAsia="Times New Roman" w:hAnsi="Arial" w:cs="Arial"/>
                            <w:color w:val="5A5A5A"/>
                            <w:sz w:val="18"/>
                            <w:szCs w:val="18"/>
                          </w:rPr>
                          <w:t xml:space="preserve">.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14:paraId="586C93EF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06E27510" wp14:editId="38B1956B">
                              <wp:extent cx="95250" cy="9525"/>
                              <wp:effectExtent l="0" t="0" r="0" b="0"/>
                              <wp:docPr id="2" name="Afbeelding 2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1E48AC" w14:paraId="4633B7C4" w14:textId="77777777">
                    <w:trPr>
                      <w:tblCellSpacing w:w="0" w:type="dxa"/>
                    </w:trPr>
                    <w:tc>
                      <w:tcPr>
                        <w:tcW w:w="9000" w:type="dxa"/>
                        <w:gridSpan w:val="3"/>
                        <w:vAlign w:val="center"/>
                        <w:hideMark/>
                      </w:tcPr>
                      <w:p w14:paraId="7A771A2A" w14:textId="77777777" w:rsidR="001E48AC" w:rsidRDefault="001E48AC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 wp14:anchorId="4CEB1309" wp14:editId="71460DE4">
                              <wp:extent cx="628650" cy="95250"/>
                              <wp:effectExtent l="0" t="0" r="0" b="0"/>
                              <wp:docPr id="1" name="Afbeelding 1" descr="cid:c98db2aad6f5f3105e5e586db161cf78@swift.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cid:c98db2aad6f5f3105e5e586db161cf78@swift.generated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 r:link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28650" cy="95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91DB371" w14:textId="77777777" w:rsidR="001E48AC" w:rsidRDefault="001E48A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514B963" w14:textId="77777777" w:rsidR="001E48AC" w:rsidRDefault="001E48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EDDFDBB" w14:textId="77777777" w:rsidR="00F976D4" w:rsidRDefault="001E48AC"/>
    <w:sectPr w:rsidR="00F97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AC"/>
    <w:rsid w:val="001E48AC"/>
    <w:rsid w:val="007900CA"/>
    <w:rsid w:val="00A1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47016"/>
  <w15:chartTrackingRefBased/>
  <w15:docId w15:val="{C22DCC14-C79C-42C9-9BDD-24248895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E48AC"/>
    <w:pPr>
      <w:spacing w:after="0" w:line="240" w:lineRule="auto"/>
    </w:pPr>
    <w:rPr>
      <w:rFonts w:ascii="Calibri" w:hAnsi="Calibri" w:cs="Calibri"/>
      <w:lang w:eastAsia="nl-NL"/>
    </w:rPr>
  </w:style>
  <w:style w:type="paragraph" w:styleId="Kop1">
    <w:name w:val="heading 1"/>
    <w:basedOn w:val="Standaard"/>
    <w:link w:val="Kop1Char"/>
    <w:uiPriority w:val="9"/>
    <w:qFormat/>
    <w:rsid w:val="001E48A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link w:val="Kop2Char"/>
    <w:uiPriority w:val="9"/>
    <w:semiHidden/>
    <w:unhideWhenUsed/>
    <w:qFormat/>
    <w:rsid w:val="001E48A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48AC"/>
    <w:rPr>
      <w:rFonts w:ascii="Calibri" w:hAnsi="Calibri" w:cs="Calibri"/>
      <w:b/>
      <w:bCs/>
      <w:kern w:val="36"/>
      <w:sz w:val="48"/>
      <w:szCs w:val="4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48AC"/>
    <w:rPr>
      <w:rFonts w:ascii="Calibri" w:hAnsi="Calibri" w:cs="Calibri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1E48AC"/>
    <w:rPr>
      <w:color w:val="0000FF"/>
      <w:u w:val="single"/>
    </w:rPr>
  </w:style>
  <w:style w:type="paragraph" w:customStyle="1" w:styleId="bodytext">
    <w:name w:val="bodytext"/>
    <w:basedOn w:val="Standaard"/>
    <w:rsid w:val="001E4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2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nzeplek.nl/fileadmin/files/pelita/Documenten/20180906programma_2018-09-08.pdf" TargetMode="External"/><Relationship Id="rId18" Type="http://schemas.openxmlformats.org/officeDocument/2006/relationships/hyperlink" Target="http://www.onzeplek.nl/fileadmin/files/pelita/Documenten/20180906persbericht_symposium_050918_Def.pdf" TargetMode="External"/><Relationship Id="rId26" Type="http://schemas.openxmlformats.org/officeDocument/2006/relationships/image" Target="cid:6a9a03fac5dd7051cfee02c6cad52e3d@swift.generated" TargetMode="External"/><Relationship Id="rId39" Type="http://schemas.openxmlformats.org/officeDocument/2006/relationships/image" Target="cid:77313d93c50e8fb544e0abaf5b4d9d6c@swift.generate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nzeplek.nl/fileadmin/files/pelita/Documenten/20180905_-_attachment_3_-_Registration_form.docx" TargetMode="External"/><Relationship Id="rId34" Type="http://schemas.openxmlformats.org/officeDocument/2006/relationships/image" Target="media/image10.jpeg"/><Relationship Id="rId42" Type="http://schemas.openxmlformats.org/officeDocument/2006/relationships/hyperlink" Target="http://www.indischeschrijfschool.nl/" TargetMode="External"/><Relationship Id="rId47" Type="http://schemas.openxmlformats.org/officeDocument/2006/relationships/hyperlink" Target="http://www.onzeplek.nl/aanmelden-nieuwsbrief.html" TargetMode="External"/><Relationship Id="rId50" Type="http://schemas.openxmlformats.org/officeDocument/2006/relationships/theme" Target="theme/theme1.xml"/><Relationship Id="rId7" Type="http://schemas.openxmlformats.org/officeDocument/2006/relationships/image" Target="cid:281df013882cf31d34676b5b12f6b358@swift.generated" TargetMode="External"/><Relationship Id="rId12" Type="http://schemas.openxmlformats.org/officeDocument/2006/relationships/hyperlink" Target="http://www.ericaburer.nl/" TargetMode="External"/><Relationship Id="rId17" Type="http://schemas.openxmlformats.org/officeDocument/2006/relationships/hyperlink" Target="https://www.dialoognji.org/nl/thuis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pelita.nl/ontmoetingen/agenda-masoek-sadjas.html" TargetMode="External"/><Relationship Id="rId38" Type="http://schemas.openxmlformats.org/officeDocument/2006/relationships/image" Target="media/image11.jpeg"/><Relationship Id="rId46" Type="http://schemas.openxmlformats.org/officeDocument/2006/relationships/hyperlink" Target="https://gallery.mailchimp.com/9605f1b13839c61723bf82182/files/bc84612c-c863-4ba2-838a-e297dc1f63f4/20180902_titelblad_Reggie_Baay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hetscheepvaartmuseum.nl/msoranje" TargetMode="External"/><Relationship Id="rId20" Type="http://schemas.openxmlformats.org/officeDocument/2006/relationships/hyperlink" Target="http://www.onzeplek.nl/fileadmin/files/pelita/Documenten/20180905_-_attachment_1_-_Symposium_programme_Oct_6th__2_.pdf" TargetMode="External"/><Relationship Id="rId29" Type="http://schemas.openxmlformats.org/officeDocument/2006/relationships/image" Target="cid:922c8560845c7c731f6945b27fb0c4c8@swift.generated" TargetMode="External"/><Relationship Id="rId41" Type="http://schemas.openxmlformats.org/officeDocument/2006/relationships/hyperlink" Target="https://dezwijger.nl/programma/dekolonisatie-of-rekolonisatie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8a7f848ff2e3a0bf8772e8e8a359647a@swift.generated" TargetMode="External"/><Relationship Id="rId24" Type="http://schemas.openxmlformats.org/officeDocument/2006/relationships/hyperlink" Target="https://www.svb.nl/Images/SVB_Aanspraak_SEPT18_def%20alt.pdf" TargetMode="External"/><Relationship Id="rId32" Type="http://schemas.openxmlformats.org/officeDocument/2006/relationships/image" Target="cid:e8d46123917a75fc0aa7c8a59bdfcb50@swift.generated" TargetMode="External"/><Relationship Id="rId37" Type="http://schemas.openxmlformats.org/officeDocument/2006/relationships/hyperlink" Target="https://www.youtube.com/watch?v=0HpxKhlKw3I&amp;feature=youtu.be" TargetMode="External"/><Relationship Id="rId40" Type="http://schemas.openxmlformats.org/officeDocument/2006/relationships/hyperlink" Target="https://www.ind45-50.org/publieksbijeenkomst-pakhuis-de-zwijger-dekolonisatie-rekolonisatie" TargetMode="External"/><Relationship Id="rId45" Type="http://schemas.openxmlformats.org/officeDocument/2006/relationships/hyperlink" Target="https://gallery.mailchimp.com/9605f1b13839c61723bf82182/files/3d3fbb4c-9aff-4685-a123-730454aada6b/20180902_Reggie_Baay_achterkant.pdf" TargetMode="External"/><Relationship Id="rId5" Type="http://schemas.openxmlformats.org/officeDocument/2006/relationships/image" Target="cid:c98db2aad6f5f3105e5e586db161cf78@swift.generated" TargetMode="External"/><Relationship Id="rId15" Type="http://schemas.openxmlformats.org/officeDocument/2006/relationships/image" Target="cid:e53bbe55e20702f5b7fe7df0a714eee4@swift.generated" TargetMode="External"/><Relationship Id="rId23" Type="http://schemas.openxmlformats.org/officeDocument/2006/relationships/image" Target="cid:2bc8ad530db4cdb9e9d09d160fbe6169@swift.generated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wavemaker.venduehuis.com/auction?auction=135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onzeplek.nl/fileadmin/files/pelita/Documenten/20180905-_attachment_2_-_Resume_of_guestspeakers__chair_of_panel__2_.pdf" TargetMode="External"/><Relationship Id="rId31" Type="http://schemas.openxmlformats.org/officeDocument/2006/relationships/image" Target="media/image9.jpeg"/><Relationship Id="rId44" Type="http://schemas.openxmlformats.org/officeDocument/2006/relationships/hyperlink" Target="http://www.vanstockum.nl/" TargetMode="External"/><Relationship Id="rId4" Type="http://schemas.openxmlformats.org/officeDocument/2006/relationships/image" Target="media/image1.gif"/><Relationship Id="rId9" Type="http://schemas.openxmlformats.org/officeDocument/2006/relationships/image" Target="cid:4e86ef28a43764dfbbf3c7823e1f1382@swift.generated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6.jpeg"/><Relationship Id="rId27" Type="http://schemas.openxmlformats.org/officeDocument/2006/relationships/hyperlink" Target="https://mailchi.mp/5d8d00053c59/preview-bijeenkomst-23-september-2018?e=838da47e6a" TargetMode="External"/><Relationship Id="rId30" Type="http://schemas.openxmlformats.org/officeDocument/2006/relationships/hyperlink" Target="http://pelita.nl/ontmoetingen/agenda-eettafels.html" TargetMode="External"/><Relationship Id="rId35" Type="http://schemas.openxmlformats.org/officeDocument/2006/relationships/image" Target="cid:d67d975334d8ff9ce5837c911cfb3519@swift.generated" TargetMode="External"/><Relationship Id="rId43" Type="http://schemas.openxmlformats.org/officeDocument/2006/relationships/hyperlink" Target="http://www.indischeschrijfschool.nl/een-gebeurtenis-op-java-over-mystieke-sterke-krachten/" TargetMode="External"/><Relationship Id="rId48" Type="http://schemas.openxmlformats.org/officeDocument/2006/relationships/hyperlink" Target="mailto:info@pelita.nl?subject=afmelden_nieuwsbrief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1160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Bouman</dc:creator>
  <cp:keywords/>
  <dc:description/>
  <cp:lastModifiedBy>Peter Bouman</cp:lastModifiedBy>
  <cp:revision>1</cp:revision>
  <dcterms:created xsi:type="dcterms:W3CDTF">2018-11-21T11:39:00Z</dcterms:created>
  <dcterms:modified xsi:type="dcterms:W3CDTF">2018-11-21T11:41:00Z</dcterms:modified>
</cp:coreProperties>
</file>